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BA" w:rsidRDefault="001A53BA" w:rsidP="001A53BA"/>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b/>
          <w:bCs/>
          <w:sz w:val="20"/>
          <w:szCs w:val="20"/>
          <w:lang w:eastAsia="en-AU"/>
        </w:rPr>
        <w:t>Privacy, Legislation and Applications for Waiver of Consent</w:t>
      </w:r>
    </w:p>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The</w:t>
      </w:r>
      <w:r w:rsidRPr="00BA42DA">
        <w:rPr>
          <w:rFonts w:eastAsia="Times New Roman" w:cs="Helvetica"/>
          <w:color w:val="5D524C"/>
          <w:sz w:val="20"/>
          <w:szCs w:val="20"/>
          <w:lang w:eastAsia="en-AU"/>
        </w:rPr>
        <w:t> </w:t>
      </w:r>
      <w:hyperlink r:id="rId10" w:tgtFrame="_blank" w:history="1">
        <w:r w:rsidRPr="00BA42DA">
          <w:rPr>
            <w:rFonts w:eastAsia="Times New Roman" w:cs="Helvetica"/>
            <w:color w:val="9D214C"/>
            <w:sz w:val="20"/>
            <w:szCs w:val="20"/>
            <w:bdr w:val="none" w:sz="0" w:space="0" w:color="auto" w:frame="1"/>
            <w:lang w:eastAsia="en-AU"/>
          </w:rPr>
          <w:t>Gui</w:t>
        </w:r>
        <w:r w:rsidRPr="00BA42DA">
          <w:rPr>
            <w:rFonts w:eastAsia="Times New Roman" w:cs="Helvetica"/>
            <w:color w:val="9D214C"/>
            <w:sz w:val="20"/>
            <w:szCs w:val="20"/>
            <w:bdr w:val="none" w:sz="0" w:space="0" w:color="auto" w:frame="1"/>
            <w:lang w:eastAsia="en-AU"/>
          </w:rPr>
          <w:t>d</w:t>
        </w:r>
        <w:r w:rsidRPr="00BA42DA">
          <w:rPr>
            <w:rFonts w:eastAsia="Times New Roman" w:cs="Helvetica"/>
            <w:color w:val="9D214C"/>
            <w:sz w:val="20"/>
            <w:szCs w:val="20"/>
            <w:bdr w:val="none" w:sz="0" w:space="0" w:color="auto" w:frame="1"/>
            <w:lang w:eastAsia="en-AU"/>
          </w:rPr>
          <w:t>elines under Section 95 of t</w:t>
        </w:r>
        <w:r w:rsidRPr="00BA42DA">
          <w:rPr>
            <w:rFonts w:eastAsia="Times New Roman" w:cs="Helvetica"/>
            <w:color w:val="9D214C"/>
            <w:sz w:val="20"/>
            <w:szCs w:val="20"/>
            <w:bdr w:val="none" w:sz="0" w:space="0" w:color="auto" w:frame="1"/>
            <w:lang w:eastAsia="en-AU"/>
          </w:rPr>
          <w:t>h</w:t>
        </w:r>
        <w:r w:rsidRPr="00BA42DA">
          <w:rPr>
            <w:rFonts w:eastAsia="Times New Roman" w:cs="Helvetica"/>
            <w:color w:val="9D214C"/>
            <w:sz w:val="20"/>
            <w:szCs w:val="20"/>
            <w:bdr w:val="none" w:sz="0" w:space="0" w:color="auto" w:frame="1"/>
            <w:lang w:eastAsia="en-AU"/>
          </w:rPr>
          <w:t>e Privacy Act 1988</w:t>
        </w:r>
      </w:hyperlink>
      <w:r w:rsidRPr="00BA42DA">
        <w:rPr>
          <w:rFonts w:eastAsia="Times New Roman" w:cs="Helvetica"/>
          <w:color w:val="5D524C"/>
          <w:sz w:val="20"/>
          <w:szCs w:val="20"/>
          <w:lang w:eastAsia="en-AU"/>
        </w:rPr>
        <w:t> </w:t>
      </w:r>
      <w:r w:rsidRPr="00BA42DA">
        <w:rPr>
          <w:rFonts w:eastAsia="Times New Roman" w:cs="Helvetica"/>
          <w:sz w:val="20"/>
          <w:szCs w:val="20"/>
          <w:lang w:eastAsia="en-AU"/>
        </w:rPr>
        <w:t>(s95 Guidelines) provide a framework for the conduct of medical research using information held or collected by agencies where personal information needs to be used and where it is not practicable to obtain the individual's consent.</w:t>
      </w:r>
    </w:p>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p>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b/>
          <w:bCs/>
          <w:iCs/>
          <w:sz w:val="20"/>
          <w:szCs w:val="20"/>
          <w:lang w:eastAsia="en-AU"/>
        </w:rPr>
        <w:t>When do I need to apply for a waiver?</w:t>
      </w:r>
    </w:p>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 xml:space="preserve">Generally, consent or a waiver of consent is not required where a study involves the use of data derived from routine clinical practices for the purposes of quality assurance.  </w:t>
      </w:r>
    </w:p>
    <w:p w:rsidR="001A53B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 xml:space="preserve">The Office of the Federal Privacy Commissioner's Guidelines on Privacy in the Private Health Sector states that an organisation's quality assurance or clinical audit activities may constitute secondary activities that are directly related to the purpose for which consent was given, and therefore that consent may not be required for these types of activities. </w:t>
      </w:r>
    </w:p>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p>
    <w:p w:rsidR="001A53BA" w:rsidRPr="00BA42DA" w:rsidRDefault="001A53BA" w:rsidP="001A53BA">
      <w:pPr>
        <w:shd w:val="clear" w:color="auto" w:fill="FFFFFF"/>
        <w:spacing w:before="0" w:after="120" w:line="240" w:lineRule="auto"/>
        <w:jc w:val="both"/>
        <w:rPr>
          <w:rFonts w:eastAsia="Times New Roman" w:cs="Helvetica"/>
          <w:sz w:val="20"/>
          <w:szCs w:val="20"/>
          <w:lang w:eastAsia="en-AU"/>
        </w:rPr>
      </w:pPr>
      <w:r w:rsidRPr="00BA42DA">
        <w:rPr>
          <w:rFonts w:eastAsia="Times New Roman" w:cs="Helvetica"/>
          <w:sz w:val="20"/>
          <w:szCs w:val="20"/>
          <w:lang w:eastAsia="en-AU"/>
        </w:rPr>
        <w:t xml:space="preserve">Use the checklist below to determine if your research can use or access data without consent or a waiver of consent.   </w:t>
      </w:r>
    </w:p>
    <w:tbl>
      <w:tblPr>
        <w:tblStyle w:val="TableGrid"/>
        <w:tblW w:w="0" w:type="auto"/>
        <w:tblLook w:val="04A0" w:firstRow="1" w:lastRow="0" w:firstColumn="1" w:lastColumn="0" w:noHBand="0" w:noVBand="1"/>
      </w:tblPr>
      <w:tblGrid>
        <w:gridCol w:w="7890"/>
        <w:gridCol w:w="1737"/>
      </w:tblGrid>
      <w:tr w:rsidR="001A53BA" w:rsidRPr="00BA42DA" w:rsidTr="00952A32">
        <w:trPr>
          <w:trHeight w:val="692"/>
        </w:trPr>
        <w:tc>
          <w:tcPr>
            <w:tcW w:w="7890" w:type="dxa"/>
            <w:shd w:val="clear" w:color="auto" w:fill="F2F2F2" w:themeFill="background1" w:themeFillShade="F2"/>
            <w:vAlign w:val="center"/>
          </w:tcPr>
          <w:p w:rsidR="001A53BA" w:rsidRPr="00BA42DA" w:rsidRDefault="001A53BA" w:rsidP="003B3994">
            <w:pPr>
              <w:pStyle w:val="NoSpacing"/>
              <w:jc w:val="both"/>
              <w:rPr>
                <w:rFonts w:asciiTheme="minorHAnsi" w:hAnsiTheme="minorHAnsi" w:cstheme="minorHAnsi"/>
                <w:b/>
                <w:sz w:val="20"/>
                <w:lang w:eastAsia="en-AU"/>
              </w:rPr>
            </w:pPr>
            <w:r w:rsidRPr="00BA42DA">
              <w:rPr>
                <w:rFonts w:asciiTheme="minorHAnsi" w:hAnsiTheme="minorHAnsi" w:cstheme="minorHAnsi"/>
                <w:b/>
                <w:sz w:val="20"/>
                <w:lang w:eastAsia="en-AU"/>
              </w:rPr>
              <w:t>Access or use of data (both de-identified and identified) for the purpose of research</w:t>
            </w:r>
          </w:p>
          <w:p w:rsidR="001A53BA" w:rsidRPr="00BA42DA" w:rsidRDefault="001A53BA" w:rsidP="003B3994">
            <w:pPr>
              <w:pStyle w:val="NoSpacing"/>
              <w:jc w:val="both"/>
              <w:rPr>
                <w:rFonts w:asciiTheme="minorHAnsi" w:hAnsiTheme="minorHAnsi" w:cstheme="minorHAnsi"/>
                <w:b/>
                <w:sz w:val="20"/>
                <w:lang w:eastAsia="en-AU"/>
              </w:rPr>
            </w:pPr>
            <w:r w:rsidRPr="00BA42DA">
              <w:rPr>
                <w:rFonts w:asciiTheme="minorHAnsi" w:hAnsiTheme="minorHAnsi" w:cstheme="minorHAnsi"/>
                <w:b/>
                <w:bCs/>
                <w:sz w:val="20"/>
                <w:u w:val="single"/>
                <w:lang w:eastAsia="en-AU"/>
              </w:rPr>
              <w:t>does not require consent or a waiver </w:t>
            </w:r>
            <w:r w:rsidRPr="00BA42DA">
              <w:rPr>
                <w:rFonts w:asciiTheme="minorHAnsi" w:hAnsiTheme="minorHAnsi" w:cstheme="minorHAnsi"/>
                <w:b/>
                <w:sz w:val="20"/>
                <w:u w:val="single"/>
                <w:lang w:eastAsia="en-AU"/>
              </w:rPr>
              <w:t>in the following circumstances:</w:t>
            </w:r>
          </w:p>
        </w:tc>
        <w:tc>
          <w:tcPr>
            <w:tcW w:w="1737" w:type="dxa"/>
            <w:shd w:val="clear" w:color="auto" w:fill="F2F2F2" w:themeFill="background1" w:themeFillShade="F2"/>
            <w:vAlign w:val="center"/>
          </w:tcPr>
          <w:p w:rsidR="001A53BA" w:rsidRPr="00BA42DA" w:rsidRDefault="001A53BA" w:rsidP="00952A32">
            <w:pPr>
              <w:pStyle w:val="NoSpacing"/>
              <w:jc w:val="center"/>
              <w:rPr>
                <w:rFonts w:asciiTheme="minorHAnsi" w:hAnsiTheme="minorHAnsi" w:cstheme="minorHAnsi"/>
                <w:b/>
                <w:sz w:val="20"/>
              </w:rPr>
            </w:pPr>
            <w:r w:rsidRPr="00BA42DA">
              <w:rPr>
                <w:rFonts w:asciiTheme="minorHAnsi" w:hAnsiTheme="minorHAnsi" w:cstheme="minorHAnsi"/>
                <w:b/>
                <w:sz w:val="20"/>
              </w:rPr>
              <w:t>Yes/No</w:t>
            </w:r>
          </w:p>
        </w:tc>
      </w:tr>
      <w:tr w:rsidR="001A53BA" w:rsidRPr="00BA42DA" w:rsidTr="001A53BA">
        <w:trPr>
          <w:trHeight w:val="1056"/>
        </w:trPr>
        <w:tc>
          <w:tcPr>
            <w:tcW w:w="7890" w:type="dxa"/>
          </w:tcPr>
          <w:p w:rsidR="001A53BA" w:rsidRPr="00BA42DA" w:rsidRDefault="001A53BA" w:rsidP="003B3994">
            <w:pPr>
              <w:spacing w:line="274" w:lineRule="atLeast"/>
              <w:jc w:val="both"/>
              <w:textAlignment w:val="baseline"/>
              <w:rPr>
                <w:rFonts w:cs="Helvetica"/>
                <w:b/>
                <w:sz w:val="20"/>
                <w:szCs w:val="20"/>
              </w:rPr>
            </w:pPr>
            <w:r w:rsidRPr="00BA42DA">
              <w:rPr>
                <w:rFonts w:cs="Helvetica"/>
                <w:b/>
                <w:sz w:val="20"/>
                <w:szCs w:val="20"/>
              </w:rPr>
              <w:t>DATA COLLECTION PURPOSE</w:t>
            </w:r>
            <w:r>
              <w:rPr>
                <w:rFonts w:cs="Helvetica"/>
                <w:b/>
                <w:sz w:val="20"/>
                <w:szCs w:val="20"/>
              </w:rPr>
              <w:t>S</w:t>
            </w:r>
          </w:p>
          <w:p w:rsidR="001A53BA" w:rsidRPr="00BA42DA" w:rsidRDefault="001A53BA" w:rsidP="001A53BA">
            <w:pPr>
              <w:pStyle w:val="ListParagraph"/>
              <w:numPr>
                <w:ilvl w:val="0"/>
                <w:numId w:val="12"/>
              </w:numPr>
              <w:spacing w:after="0" w:line="274" w:lineRule="atLeast"/>
              <w:jc w:val="both"/>
              <w:textAlignment w:val="baseline"/>
              <w:rPr>
                <w:rFonts w:asciiTheme="minorHAnsi" w:hAnsiTheme="minorHAnsi" w:cs="Helvetica"/>
                <w:sz w:val="20"/>
                <w:szCs w:val="20"/>
              </w:rPr>
            </w:pPr>
            <w:r w:rsidRPr="00BA42DA">
              <w:rPr>
                <w:rFonts w:asciiTheme="minorHAnsi" w:hAnsiTheme="minorHAnsi" w:cs="Helvetica"/>
                <w:sz w:val="20"/>
                <w:szCs w:val="20"/>
              </w:rPr>
              <w:t xml:space="preserve">The data to be accessed or used </w:t>
            </w:r>
            <w:r w:rsidRPr="00BA42DA">
              <w:rPr>
                <w:rFonts w:asciiTheme="minorHAnsi" w:hAnsiTheme="minorHAnsi" w:cs="Helvetica"/>
                <w:sz w:val="20"/>
                <w:szCs w:val="20"/>
                <w:u w:val="single"/>
              </w:rPr>
              <w:t>has already been collected</w:t>
            </w:r>
            <w:r w:rsidRPr="00BA42DA">
              <w:rPr>
                <w:rFonts w:asciiTheme="minorHAnsi" w:hAnsiTheme="minorHAnsi" w:cs="Helvetica"/>
                <w:sz w:val="20"/>
                <w:szCs w:val="20"/>
              </w:rPr>
              <w:t xml:space="preserve"> as a part of routine business (e.g. clinical care, training, planning, or ma</w:t>
            </w:r>
            <w:r>
              <w:rPr>
                <w:rFonts w:asciiTheme="minorHAnsi" w:hAnsiTheme="minorHAnsi" w:cs="Helvetica"/>
                <w:sz w:val="20"/>
                <w:szCs w:val="20"/>
              </w:rPr>
              <w:t>nagement of the health service); or</w:t>
            </w:r>
          </w:p>
          <w:p w:rsidR="001A53BA" w:rsidRPr="00BA42DA" w:rsidRDefault="001A53BA" w:rsidP="003B3994">
            <w:pPr>
              <w:pStyle w:val="ListParagraph"/>
              <w:spacing w:line="274" w:lineRule="atLeast"/>
              <w:jc w:val="both"/>
              <w:textAlignment w:val="baseline"/>
              <w:rPr>
                <w:rFonts w:asciiTheme="minorHAnsi" w:hAnsiTheme="minorHAnsi" w:cs="Helvetica"/>
                <w:b/>
                <w:sz w:val="20"/>
                <w:szCs w:val="20"/>
              </w:rPr>
            </w:pPr>
            <w:r w:rsidRPr="00BA42DA">
              <w:rPr>
                <w:rFonts w:asciiTheme="minorHAnsi" w:hAnsiTheme="minorHAnsi" w:cs="Helvetica"/>
                <w:b/>
                <w:sz w:val="20"/>
                <w:szCs w:val="20"/>
              </w:rPr>
              <w:t xml:space="preserve">                                                          </w:t>
            </w:r>
            <w:r>
              <w:rPr>
                <w:rFonts w:asciiTheme="minorHAnsi" w:hAnsiTheme="minorHAnsi" w:cs="Helvetica"/>
                <w:b/>
                <w:sz w:val="20"/>
                <w:szCs w:val="20"/>
              </w:rPr>
              <w:t xml:space="preserve">     </w:t>
            </w:r>
          </w:p>
          <w:p w:rsidR="001A53BA" w:rsidRPr="00BA42DA" w:rsidRDefault="001A53BA" w:rsidP="001A53BA">
            <w:pPr>
              <w:pStyle w:val="ListParagraph"/>
              <w:numPr>
                <w:ilvl w:val="0"/>
                <w:numId w:val="12"/>
              </w:numPr>
              <w:spacing w:after="0" w:line="274" w:lineRule="atLeast"/>
              <w:jc w:val="both"/>
              <w:textAlignment w:val="baseline"/>
              <w:rPr>
                <w:rFonts w:asciiTheme="minorHAnsi" w:hAnsiTheme="minorHAnsi" w:cs="Helvetica"/>
                <w:b/>
                <w:sz w:val="20"/>
                <w:szCs w:val="20"/>
              </w:rPr>
            </w:pPr>
            <w:r w:rsidRPr="00BA42DA">
              <w:rPr>
                <w:rFonts w:asciiTheme="minorHAnsi" w:hAnsiTheme="minorHAnsi" w:cs="Helvetica"/>
                <w:sz w:val="20"/>
                <w:szCs w:val="20"/>
              </w:rPr>
              <w:t xml:space="preserve">The data </w:t>
            </w:r>
            <w:r w:rsidRPr="00BA42DA">
              <w:rPr>
                <w:rFonts w:asciiTheme="minorHAnsi" w:hAnsiTheme="minorHAnsi" w:cs="Helvetica"/>
                <w:sz w:val="20"/>
                <w:szCs w:val="20"/>
                <w:u w:val="single"/>
              </w:rPr>
              <w:t>will be</w:t>
            </w:r>
            <w:r w:rsidRPr="00BA42DA">
              <w:rPr>
                <w:rFonts w:asciiTheme="minorHAnsi" w:hAnsiTheme="minorHAnsi" w:cs="Helvetica"/>
                <w:sz w:val="20"/>
                <w:szCs w:val="20"/>
              </w:rPr>
              <w:t xml:space="preserve"> collected as a matter of routine business (e.g. clinical care, training, planning, or management of the health service)</w:t>
            </w:r>
          </w:p>
          <w:p w:rsidR="001A53BA" w:rsidRPr="00952A32" w:rsidRDefault="001A53BA" w:rsidP="003B3994">
            <w:pPr>
              <w:pStyle w:val="ListParagraph"/>
              <w:spacing w:after="0" w:line="274" w:lineRule="atLeast"/>
              <w:ind w:left="360"/>
              <w:jc w:val="both"/>
              <w:textAlignment w:val="baseline"/>
              <w:rPr>
                <w:rFonts w:asciiTheme="minorHAnsi" w:hAnsiTheme="minorHAnsi" w:cs="Helvetica"/>
                <w:b/>
                <w:sz w:val="16"/>
                <w:szCs w:val="16"/>
              </w:rPr>
            </w:pPr>
          </w:p>
        </w:tc>
        <w:tc>
          <w:tcPr>
            <w:tcW w:w="1737" w:type="dxa"/>
            <w:vAlign w:val="center"/>
          </w:tcPr>
          <w:p w:rsidR="001A53BA" w:rsidRPr="00BA42DA" w:rsidRDefault="001A53BA" w:rsidP="003B3994">
            <w:pPr>
              <w:spacing w:line="274" w:lineRule="atLeast"/>
              <w:jc w:val="both"/>
              <w:rPr>
                <w:rFonts w:eastAsia="Times New Roman" w:cs="Helvetica"/>
                <w:sz w:val="20"/>
                <w:szCs w:val="20"/>
                <w:lang w:eastAsia="en-AU"/>
              </w:rPr>
            </w:pPr>
          </w:p>
        </w:tc>
      </w:tr>
      <w:tr w:rsidR="001A53BA" w:rsidRPr="00BA42DA" w:rsidTr="001A53BA">
        <w:trPr>
          <w:trHeight w:val="1501"/>
        </w:trPr>
        <w:tc>
          <w:tcPr>
            <w:tcW w:w="7890" w:type="dxa"/>
          </w:tcPr>
          <w:p w:rsidR="001A53BA" w:rsidRPr="00BA42DA" w:rsidRDefault="001A53BA" w:rsidP="003B3994">
            <w:pPr>
              <w:spacing w:line="274" w:lineRule="atLeast"/>
              <w:jc w:val="both"/>
              <w:textAlignment w:val="baseline"/>
              <w:rPr>
                <w:rFonts w:eastAsia="Times New Roman" w:cs="Helvetica"/>
                <w:b/>
                <w:sz w:val="20"/>
                <w:szCs w:val="20"/>
                <w:lang w:eastAsia="en-AU"/>
              </w:rPr>
            </w:pPr>
            <w:r w:rsidRPr="00BA42DA">
              <w:rPr>
                <w:rFonts w:eastAsia="Times New Roman" w:cs="Helvetica"/>
                <w:b/>
                <w:sz w:val="20"/>
                <w:szCs w:val="20"/>
                <w:lang w:eastAsia="en-AU"/>
              </w:rPr>
              <w:t>RESEARCH PURPOSE</w:t>
            </w:r>
            <w:r>
              <w:rPr>
                <w:rFonts w:eastAsia="Times New Roman" w:cs="Helvetica"/>
                <w:b/>
                <w:sz w:val="20"/>
                <w:szCs w:val="20"/>
                <w:lang w:eastAsia="en-AU"/>
              </w:rPr>
              <w:t>S</w:t>
            </w:r>
          </w:p>
          <w:p w:rsidR="001A53BA" w:rsidRDefault="001A53BA" w:rsidP="001A53BA">
            <w:pPr>
              <w:pStyle w:val="ListParagraph"/>
              <w:numPr>
                <w:ilvl w:val="0"/>
                <w:numId w:val="12"/>
              </w:numPr>
              <w:spacing w:after="0" w:line="274" w:lineRule="atLeast"/>
              <w:jc w:val="both"/>
              <w:textAlignment w:val="baseline"/>
              <w:rPr>
                <w:rFonts w:asciiTheme="minorHAnsi" w:hAnsiTheme="minorHAnsi" w:cs="Helvetica"/>
                <w:sz w:val="20"/>
                <w:szCs w:val="20"/>
              </w:rPr>
            </w:pPr>
            <w:r w:rsidRPr="00BA42DA">
              <w:rPr>
                <w:rFonts w:asciiTheme="minorHAnsi" w:hAnsiTheme="minorHAnsi" w:cs="Helvetica"/>
                <w:sz w:val="20"/>
                <w:szCs w:val="20"/>
              </w:rPr>
              <w:t>The data that will be used for the purpose of research, audit or quality improvement or other research activities that are directly related to the primary purpose for which</w:t>
            </w:r>
            <w:r>
              <w:rPr>
                <w:rFonts w:asciiTheme="minorHAnsi" w:hAnsiTheme="minorHAnsi" w:cs="Helvetica"/>
                <w:sz w:val="20"/>
                <w:szCs w:val="20"/>
              </w:rPr>
              <w:t xml:space="preserve"> the data was/will be collected</w:t>
            </w:r>
          </w:p>
          <w:p w:rsidR="001A53BA" w:rsidRPr="00BA42DA" w:rsidRDefault="001A53BA" w:rsidP="003B3994">
            <w:pPr>
              <w:pStyle w:val="ListParagraph"/>
              <w:spacing w:after="0" w:line="274" w:lineRule="atLeast"/>
              <w:ind w:left="360"/>
              <w:jc w:val="both"/>
              <w:textAlignment w:val="baseline"/>
              <w:rPr>
                <w:rFonts w:asciiTheme="minorHAnsi" w:hAnsiTheme="minorHAnsi" w:cs="Helvetica"/>
                <w:sz w:val="20"/>
                <w:szCs w:val="20"/>
              </w:rPr>
            </w:pPr>
          </w:p>
        </w:tc>
        <w:tc>
          <w:tcPr>
            <w:tcW w:w="1737" w:type="dxa"/>
            <w:vAlign w:val="center"/>
          </w:tcPr>
          <w:p w:rsidR="001A53BA" w:rsidRPr="00BA42DA" w:rsidRDefault="001A53BA" w:rsidP="003B3994">
            <w:pPr>
              <w:spacing w:line="274" w:lineRule="atLeast"/>
              <w:jc w:val="both"/>
              <w:rPr>
                <w:rFonts w:cs="Calibri"/>
                <w:b/>
                <w:sz w:val="20"/>
                <w:szCs w:val="20"/>
                <w:lang w:val="en-US"/>
              </w:rPr>
            </w:pPr>
          </w:p>
          <w:p w:rsidR="001A53BA" w:rsidRPr="00BA42DA" w:rsidRDefault="001A53BA" w:rsidP="003B3994">
            <w:pPr>
              <w:spacing w:line="274" w:lineRule="atLeast"/>
              <w:jc w:val="both"/>
              <w:rPr>
                <w:rFonts w:cs="Calibri"/>
                <w:b/>
                <w:sz w:val="20"/>
                <w:szCs w:val="20"/>
                <w:lang w:val="en-US"/>
              </w:rPr>
            </w:pPr>
          </w:p>
          <w:p w:rsidR="001A53BA" w:rsidRPr="00BA42DA" w:rsidRDefault="001A53BA" w:rsidP="003B3994">
            <w:pPr>
              <w:spacing w:line="274" w:lineRule="atLeast"/>
              <w:jc w:val="both"/>
              <w:rPr>
                <w:rFonts w:cs="Calibri"/>
                <w:b/>
                <w:sz w:val="20"/>
                <w:szCs w:val="20"/>
                <w:lang w:val="en-US"/>
              </w:rPr>
            </w:pPr>
          </w:p>
        </w:tc>
      </w:tr>
      <w:tr w:rsidR="001A53BA" w:rsidRPr="00BA42DA" w:rsidTr="001A53BA">
        <w:trPr>
          <w:trHeight w:val="737"/>
        </w:trPr>
        <w:tc>
          <w:tcPr>
            <w:tcW w:w="7890" w:type="dxa"/>
          </w:tcPr>
          <w:p w:rsidR="001A53BA" w:rsidRPr="00BA42DA" w:rsidRDefault="001A53BA" w:rsidP="003B3994">
            <w:pPr>
              <w:pStyle w:val="ListParagraph"/>
              <w:shd w:val="clear" w:color="auto" w:fill="FFFFFF"/>
              <w:spacing w:line="274" w:lineRule="atLeast"/>
              <w:jc w:val="both"/>
              <w:rPr>
                <w:rFonts w:asciiTheme="minorHAnsi" w:hAnsiTheme="minorHAnsi" w:cs="Helvetica"/>
                <w:sz w:val="20"/>
                <w:szCs w:val="20"/>
              </w:rPr>
            </w:pPr>
          </w:p>
          <w:p w:rsidR="001A53BA" w:rsidRDefault="001A53BA" w:rsidP="001A53BA">
            <w:pPr>
              <w:pStyle w:val="ListParagraph"/>
              <w:numPr>
                <w:ilvl w:val="0"/>
                <w:numId w:val="12"/>
              </w:numPr>
              <w:shd w:val="clear" w:color="auto" w:fill="FFFFFF"/>
              <w:spacing w:after="0" w:line="274" w:lineRule="atLeast"/>
              <w:jc w:val="both"/>
              <w:rPr>
                <w:rFonts w:asciiTheme="minorHAnsi" w:hAnsiTheme="minorHAnsi" w:cs="Helvetica"/>
                <w:sz w:val="20"/>
                <w:szCs w:val="20"/>
              </w:rPr>
            </w:pPr>
            <w:r w:rsidRPr="00BA42DA">
              <w:rPr>
                <w:rFonts w:asciiTheme="minorHAnsi" w:hAnsiTheme="minorHAnsi" w:cs="Helvetica"/>
                <w:sz w:val="20"/>
                <w:szCs w:val="20"/>
              </w:rPr>
              <w:t>Access to data is sought by a person who would normally have access to the data as part of their employment with Barwon Health for the purpose of their work.</w:t>
            </w:r>
          </w:p>
          <w:p w:rsidR="001A53BA" w:rsidRPr="00BA42DA" w:rsidRDefault="001A53BA" w:rsidP="003B3994">
            <w:pPr>
              <w:pStyle w:val="ListParagraph"/>
              <w:shd w:val="clear" w:color="auto" w:fill="FFFFFF"/>
              <w:spacing w:after="0" w:line="274" w:lineRule="atLeast"/>
              <w:ind w:left="360"/>
              <w:jc w:val="both"/>
              <w:rPr>
                <w:rFonts w:asciiTheme="minorHAnsi" w:hAnsiTheme="minorHAnsi" w:cs="Helvetica"/>
                <w:sz w:val="20"/>
                <w:szCs w:val="20"/>
              </w:rPr>
            </w:pPr>
          </w:p>
        </w:tc>
        <w:tc>
          <w:tcPr>
            <w:tcW w:w="1737" w:type="dxa"/>
            <w:vAlign w:val="center"/>
          </w:tcPr>
          <w:p w:rsidR="001A53BA" w:rsidRPr="00BA42DA" w:rsidRDefault="001A53BA" w:rsidP="003B3994">
            <w:pPr>
              <w:spacing w:line="274" w:lineRule="atLeast"/>
              <w:jc w:val="both"/>
              <w:rPr>
                <w:rFonts w:cs="Calibri"/>
                <w:b/>
                <w:sz w:val="20"/>
                <w:szCs w:val="20"/>
                <w:lang w:val="en-US"/>
              </w:rPr>
            </w:pPr>
          </w:p>
        </w:tc>
      </w:tr>
    </w:tbl>
    <w:p w:rsidR="001A53BA" w:rsidRDefault="001A53BA" w:rsidP="001A53BA">
      <w:pPr>
        <w:shd w:val="clear" w:color="auto" w:fill="FFFFFF"/>
        <w:spacing w:after="0" w:line="274" w:lineRule="atLeast"/>
        <w:jc w:val="both"/>
        <w:rPr>
          <w:rFonts w:eastAsia="Times New Roman" w:cs="Helvetica"/>
          <w:sz w:val="20"/>
          <w:szCs w:val="20"/>
          <w:lang w:eastAsia="en-AU"/>
        </w:rPr>
      </w:pPr>
    </w:p>
    <w:p w:rsidR="001A53BA" w:rsidRPr="00BA42DA" w:rsidRDefault="001A53BA" w:rsidP="001A53BA">
      <w:pPr>
        <w:shd w:val="clear" w:color="auto" w:fill="FFFFFF"/>
        <w:spacing w:before="0" w:after="120" w:line="240" w:lineRule="auto"/>
        <w:jc w:val="both"/>
        <w:rPr>
          <w:rFonts w:eastAsia="Times New Roman" w:cs="Helvetica"/>
          <w:b/>
          <w:sz w:val="20"/>
          <w:szCs w:val="20"/>
          <w:lang w:eastAsia="en-AU"/>
        </w:rPr>
      </w:pPr>
      <w:r w:rsidRPr="00BA42DA">
        <w:rPr>
          <w:rFonts w:eastAsia="Times New Roman" w:cs="Helvetica"/>
          <w:b/>
          <w:sz w:val="20"/>
          <w:szCs w:val="20"/>
          <w:lang w:eastAsia="en-AU"/>
        </w:rPr>
        <w:t xml:space="preserve">If you answered ‘NO’ to any of the above, you should seek consent or a waiver of consent for the use or access of data to be used for your research.  </w:t>
      </w:r>
    </w:p>
    <w:p w:rsidR="001A53BA" w:rsidRPr="00BA42DA" w:rsidRDefault="001A53BA" w:rsidP="001A53BA">
      <w:pPr>
        <w:shd w:val="clear" w:color="auto" w:fill="FFFFFF"/>
        <w:spacing w:before="0" w:after="120" w:line="240" w:lineRule="auto"/>
        <w:jc w:val="both"/>
        <w:rPr>
          <w:rFonts w:eastAsia="Times New Roman" w:cs="Helvetica"/>
          <w:color w:val="5D524C"/>
          <w:sz w:val="20"/>
          <w:szCs w:val="20"/>
          <w:lang w:eastAsia="en-AU"/>
        </w:rPr>
      </w:pPr>
      <w:r w:rsidRPr="00BA42DA">
        <w:rPr>
          <w:rFonts w:eastAsia="Times New Roman" w:cs="Helvetica"/>
          <w:sz w:val="20"/>
          <w:szCs w:val="20"/>
          <w:lang w:eastAsia="en-AU"/>
        </w:rPr>
        <w:t>For more detailed information about different forms of consent</w:t>
      </w:r>
      <w:r>
        <w:rPr>
          <w:rFonts w:eastAsia="Times New Roman" w:cs="Helvetica"/>
          <w:sz w:val="20"/>
          <w:szCs w:val="20"/>
          <w:lang w:eastAsia="en-AU"/>
        </w:rPr>
        <w:t>,</w:t>
      </w:r>
      <w:r w:rsidRPr="00BA42DA">
        <w:rPr>
          <w:rFonts w:eastAsia="Times New Roman" w:cs="Helvetica"/>
          <w:sz w:val="20"/>
          <w:szCs w:val="20"/>
          <w:lang w:eastAsia="en-AU"/>
        </w:rPr>
        <w:t xml:space="preserve"> including opt in and opt out, implied consent, and waivers of consent, please view the</w:t>
      </w:r>
      <w:r w:rsidR="000030A5">
        <w:rPr>
          <w:rFonts w:eastAsia="Times New Roman" w:cs="Helvetica"/>
          <w:sz w:val="20"/>
          <w:szCs w:val="20"/>
          <w:lang w:eastAsia="en-AU"/>
        </w:rPr>
        <w:t xml:space="preserve"> RDU</w:t>
      </w:r>
      <w:r w:rsidRPr="00BA42DA">
        <w:rPr>
          <w:rFonts w:eastAsia="Times New Roman" w:cs="Helvetica"/>
          <w:sz w:val="20"/>
          <w:szCs w:val="20"/>
          <w:lang w:eastAsia="en-AU"/>
        </w:rPr>
        <w:t xml:space="preserve"> </w:t>
      </w:r>
      <w:r w:rsidR="000030A5">
        <w:rPr>
          <w:rFonts w:eastAsia="Times New Roman" w:cs="Helvetica"/>
          <w:sz w:val="20"/>
          <w:szCs w:val="20"/>
          <w:lang w:eastAsia="en-AU"/>
        </w:rPr>
        <w:t xml:space="preserve">Consent </w:t>
      </w:r>
      <w:r w:rsidRPr="00BA42DA">
        <w:rPr>
          <w:rFonts w:eastAsia="Times New Roman" w:cs="Helvetica"/>
          <w:sz w:val="20"/>
          <w:szCs w:val="20"/>
          <w:lang w:eastAsia="en-AU"/>
        </w:rPr>
        <w:t xml:space="preserve">Guidelines on </w:t>
      </w:r>
      <w:r w:rsidR="000030A5">
        <w:rPr>
          <w:rFonts w:eastAsia="Times New Roman" w:cs="Helvetica"/>
          <w:sz w:val="20"/>
          <w:szCs w:val="20"/>
          <w:lang w:eastAsia="en-AU"/>
        </w:rPr>
        <w:t>our</w:t>
      </w:r>
      <w:r w:rsidRPr="00BA42DA">
        <w:rPr>
          <w:rFonts w:eastAsia="Times New Roman" w:cs="Helvetica"/>
          <w:color w:val="5D524C"/>
          <w:sz w:val="20"/>
          <w:szCs w:val="20"/>
          <w:lang w:eastAsia="en-AU"/>
        </w:rPr>
        <w:t> </w:t>
      </w:r>
      <w:hyperlink r:id="rId11" w:history="1">
        <w:r w:rsidRPr="00BF6A6F">
          <w:rPr>
            <w:rStyle w:val="Hyperlink"/>
            <w:rFonts w:eastAsia="Times New Roman" w:cs="Helvetica"/>
            <w:sz w:val="20"/>
            <w:szCs w:val="20"/>
            <w:bdr w:val="none" w:sz="0" w:space="0" w:color="auto" w:frame="1"/>
            <w:lang w:eastAsia="en-AU"/>
          </w:rPr>
          <w:t>Guide</w:t>
        </w:r>
        <w:r w:rsidRPr="00BF6A6F">
          <w:rPr>
            <w:rStyle w:val="Hyperlink"/>
            <w:rFonts w:eastAsia="Times New Roman" w:cs="Helvetica"/>
            <w:sz w:val="20"/>
            <w:szCs w:val="20"/>
            <w:bdr w:val="none" w:sz="0" w:space="0" w:color="auto" w:frame="1"/>
            <w:lang w:eastAsia="en-AU"/>
          </w:rPr>
          <w:t>l</w:t>
        </w:r>
        <w:r w:rsidR="000030A5" w:rsidRPr="00BF6A6F">
          <w:rPr>
            <w:rStyle w:val="Hyperlink"/>
            <w:rFonts w:eastAsia="Times New Roman" w:cs="Helvetica"/>
            <w:sz w:val="20"/>
            <w:szCs w:val="20"/>
            <w:bdr w:val="none" w:sz="0" w:space="0" w:color="auto" w:frame="1"/>
            <w:lang w:eastAsia="en-AU"/>
          </w:rPr>
          <w:t xml:space="preserve">ines, tools and training </w:t>
        </w:r>
        <w:r w:rsidR="00BF6A6F" w:rsidRPr="00BF6A6F">
          <w:rPr>
            <w:rStyle w:val="Hyperlink"/>
            <w:rFonts w:eastAsia="Times New Roman" w:cs="Helvetica"/>
            <w:sz w:val="20"/>
            <w:szCs w:val="20"/>
            <w:bdr w:val="none" w:sz="0" w:space="0" w:color="auto" w:frame="1"/>
            <w:lang w:eastAsia="en-AU"/>
          </w:rPr>
          <w:t>web</w:t>
        </w:r>
        <w:r w:rsidR="000030A5" w:rsidRPr="00BF6A6F">
          <w:rPr>
            <w:rStyle w:val="Hyperlink"/>
            <w:rFonts w:eastAsia="Times New Roman" w:cs="Helvetica"/>
            <w:sz w:val="20"/>
            <w:szCs w:val="20"/>
            <w:bdr w:val="none" w:sz="0" w:space="0" w:color="auto" w:frame="1"/>
            <w:lang w:eastAsia="en-AU"/>
          </w:rPr>
          <w:t>page</w:t>
        </w:r>
      </w:hyperlink>
      <w:r w:rsidRPr="00BA42DA">
        <w:rPr>
          <w:rFonts w:eastAsia="Times New Roman" w:cs="Helvetica"/>
          <w:color w:val="5D524C"/>
          <w:sz w:val="20"/>
          <w:szCs w:val="20"/>
          <w:lang w:eastAsia="en-AU"/>
        </w:rPr>
        <w:t>.</w:t>
      </w:r>
    </w:p>
    <w:p w:rsidR="001A53BA" w:rsidRPr="00BA42DA" w:rsidRDefault="001A53BA" w:rsidP="001A53BA">
      <w:pPr>
        <w:shd w:val="clear" w:color="auto" w:fill="FFFFFF"/>
        <w:spacing w:before="0" w:after="120" w:line="240" w:lineRule="auto"/>
        <w:jc w:val="both"/>
        <w:rPr>
          <w:rFonts w:eastAsia="Times New Roman" w:cs="Helvetica"/>
          <w:b/>
          <w:bCs/>
          <w:i/>
          <w:iCs/>
          <w:color w:val="5D524C"/>
          <w:sz w:val="20"/>
          <w:szCs w:val="20"/>
          <w:lang w:eastAsia="en-AU"/>
        </w:rPr>
      </w:pPr>
      <w:bookmarkStart w:id="0" w:name="_GoBack"/>
      <w:bookmarkEnd w:id="0"/>
    </w:p>
    <w:sectPr w:rsidR="001A53BA" w:rsidRPr="00BA42DA" w:rsidSect="001A53BA">
      <w:footerReference w:type="default" r:id="rId12"/>
      <w:headerReference w:type="first" r:id="rId13"/>
      <w:footerReference w:type="first" r:id="rId14"/>
      <w:pgSz w:w="11899" w:h="16838"/>
      <w:pgMar w:top="1077" w:right="1128" w:bottom="1701" w:left="1134"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E4" w:rsidRDefault="001F30E4">
      <w:pPr>
        <w:spacing w:line="240" w:lineRule="auto"/>
      </w:pPr>
      <w:r>
        <w:separator/>
      </w:r>
    </w:p>
  </w:endnote>
  <w:endnote w:type="continuationSeparator" w:id="0">
    <w:p w:rsidR="001F30E4" w:rsidRDefault="001F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EB3598" w:rsidP="00F04953">
    <w:pPr>
      <w:pStyle w:val="Footer"/>
      <w:ind w:left="-1134" w:right="-1134"/>
    </w:pPr>
    <w:r>
      <w:rPr>
        <w:noProof/>
        <w:lang w:eastAsia="en-AU"/>
      </w:rPr>
      <w:drawing>
        <wp:anchor distT="0" distB="0" distL="114300" distR="114300" simplePos="0" relativeHeight="251662336"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533420965" name="Picture 5334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1A53BA" w:rsidRDefault="001A53BA" w:rsidP="001A53BA">
    <w:pPr>
      <w:pStyle w:val="Footer"/>
      <w:spacing w:after="480"/>
      <w:ind w:right="-1134"/>
      <w:rPr>
        <w:i/>
        <w:sz w:val="20"/>
        <w:szCs w:val="20"/>
      </w:rPr>
    </w:pPr>
    <w:r w:rsidRPr="001A53BA">
      <w:rPr>
        <w:i/>
        <w:noProof/>
        <w:sz w:val="20"/>
        <w:szCs w:val="20"/>
        <w:lang w:eastAsia="en-AU"/>
      </w:rPr>
      <w:t>Waiver of Consent Checklist (32 - v3.0) Nov 2023</w:t>
    </w:r>
    <w:r w:rsidR="005B6C15" w:rsidRPr="001A53BA">
      <w:rPr>
        <w:i/>
        <w:noProof/>
        <w:sz w:val="20"/>
        <w:szCs w:val="20"/>
        <w:lang w:eastAsia="en-AU"/>
      </w:rPr>
      <w:drawing>
        <wp:anchor distT="0" distB="0" distL="114300" distR="114300" simplePos="0" relativeHeight="251667456"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1A53BA">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E4" w:rsidRDefault="001F30E4">
      <w:pPr>
        <w:spacing w:line="240" w:lineRule="auto"/>
      </w:pPr>
      <w:r>
        <w:separator/>
      </w:r>
    </w:p>
  </w:footnote>
  <w:footnote w:type="continuationSeparator" w:id="0">
    <w:p w:rsidR="001F30E4" w:rsidRDefault="001F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1A53BA" w:rsidRDefault="001A53BA" w:rsidP="001F30E4">
                          <w:pPr>
                            <w:pStyle w:val="Title"/>
                            <w:spacing w:line="216" w:lineRule="auto"/>
                            <w:rPr>
                              <w:rFonts w:asciiTheme="minorHAnsi" w:hAnsiTheme="minorHAnsi" w:cstheme="minorHAnsi"/>
                              <w:b/>
                              <w:i/>
                              <w:sz w:val="48"/>
                              <w:szCs w:val="22"/>
                              <w:lang w:val="en-GB"/>
                            </w:rPr>
                          </w:pPr>
                          <w:r>
                            <w:rPr>
                              <w:rFonts w:asciiTheme="minorHAnsi" w:hAnsiTheme="minorHAnsi" w:cstheme="minorHAnsi"/>
                              <w:b/>
                              <w:i/>
                              <w:sz w:val="48"/>
                              <w:szCs w:val="22"/>
                              <w:lang w:val="en-GB"/>
                            </w:rPr>
                            <w:t>Waiver of Consent 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" filled="f" stroked="f">
              <v:path arrowok="t"/>
              <v:textbox inset="0,0,0,0">
                <w:txbxContent>
                  <w:p w:rsidR="00EB3598" w:rsidRPr="001A53BA" w:rsidRDefault="001A53BA" w:rsidP="001F30E4">
                    <w:pPr>
                      <w:pStyle w:val="Title"/>
                      <w:spacing w:line="216" w:lineRule="auto"/>
                      <w:rPr>
                        <w:rFonts w:asciiTheme="minorHAnsi" w:hAnsiTheme="minorHAnsi" w:cstheme="minorHAnsi"/>
                        <w:b/>
                        <w:i/>
                        <w:sz w:val="48"/>
                        <w:szCs w:val="22"/>
                        <w:lang w:val="en-GB"/>
                      </w:rPr>
                    </w:pPr>
                    <w:r>
                      <w:rPr>
                        <w:rFonts w:asciiTheme="minorHAnsi" w:hAnsiTheme="minorHAnsi" w:cstheme="minorHAnsi"/>
                        <w:b/>
                        <w:i/>
                        <w:sz w:val="48"/>
                        <w:szCs w:val="22"/>
                        <w:lang w:val="en-GB"/>
                      </w:rPr>
                      <w:t>Waiver of Consent Checklist</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20695A"/>
    <w:multiLevelType w:val="hybridMultilevel"/>
    <w:tmpl w:val="3348C140"/>
    <w:lvl w:ilvl="0" w:tplc="C65AF34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4"/>
    <w:rsid w:val="000030A5"/>
    <w:rsid w:val="00017757"/>
    <w:rsid w:val="00027525"/>
    <w:rsid w:val="00046E41"/>
    <w:rsid w:val="000A1469"/>
    <w:rsid w:val="000F003F"/>
    <w:rsid w:val="00154906"/>
    <w:rsid w:val="001725C8"/>
    <w:rsid w:val="001A53BA"/>
    <w:rsid w:val="001F30E4"/>
    <w:rsid w:val="002C2DB8"/>
    <w:rsid w:val="002F1CB2"/>
    <w:rsid w:val="00305299"/>
    <w:rsid w:val="0032287B"/>
    <w:rsid w:val="00330BFE"/>
    <w:rsid w:val="003F7858"/>
    <w:rsid w:val="004B1FE0"/>
    <w:rsid w:val="00501402"/>
    <w:rsid w:val="005176BB"/>
    <w:rsid w:val="005B6C15"/>
    <w:rsid w:val="005E379C"/>
    <w:rsid w:val="006B377A"/>
    <w:rsid w:val="006B39CE"/>
    <w:rsid w:val="006F13ED"/>
    <w:rsid w:val="00704323"/>
    <w:rsid w:val="007E6DB6"/>
    <w:rsid w:val="00874FC5"/>
    <w:rsid w:val="00912068"/>
    <w:rsid w:val="00945E28"/>
    <w:rsid w:val="00952A32"/>
    <w:rsid w:val="009763AE"/>
    <w:rsid w:val="009969AC"/>
    <w:rsid w:val="009D6B80"/>
    <w:rsid w:val="00A63747"/>
    <w:rsid w:val="00AF1EB9"/>
    <w:rsid w:val="00B3260A"/>
    <w:rsid w:val="00BD0C5C"/>
    <w:rsid w:val="00BE4968"/>
    <w:rsid w:val="00BF6A6F"/>
    <w:rsid w:val="00C37CD3"/>
    <w:rsid w:val="00C93C86"/>
    <w:rsid w:val="00C94982"/>
    <w:rsid w:val="00D23F42"/>
    <w:rsid w:val="00D61087"/>
    <w:rsid w:val="00DF3C98"/>
    <w:rsid w:val="00DF6A67"/>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D72693B"/>
  <w15:docId w15:val="{278F0A1C-9679-4255-B809-E40D74B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styleId="ListParagraph">
    <w:name w:val="List Paragraph"/>
    <w:basedOn w:val="Normal"/>
    <w:uiPriority w:val="34"/>
    <w:qFormat/>
    <w:rsid w:val="001A53BA"/>
    <w:pPr>
      <w:spacing w:before="0" w:after="200" w:line="276" w:lineRule="auto"/>
      <w:ind w:left="720"/>
      <w:contextualSpacing/>
    </w:pPr>
    <w:rPr>
      <w:rFonts w:ascii="Calibri" w:eastAsia="Times New Roman" w:hAnsi="Calibri"/>
      <w:sz w:val="22"/>
      <w:szCs w:val="22"/>
      <w:lang w:eastAsia="en-AU"/>
    </w:rPr>
  </w:style>
  <w:style w:type="character" w:styleId="Hyperlink">
    <w:name w:val="Hyperlink"/>
    <w:uiPriority w:val="99"/>
    <w:rsid w:val="001A53BA"/>
    <w:rPr>
      <w:rFonts w:cs="Times New Roman"/>
      <w:color w:val="0000FF"/>
      <w:u w:val="single"/>
    </w:rPr>
  </w:style>
  <w:style w:type="paragraph" w:styleId="NoSpacing">
    <w:name w:val="No Spacing"/>
    <w:uiPriority w:val="1"/>
    <w:qFormat/>
    <w:rsid w:val="001A53BA"/>
    <w:rPr>
      <w:rFonts w:ascii="Arial" w:hAnsi="Arial"/>
      <w:sz w:val="18"/>
      <w:szCs w:val="24"/>
    </w:rPr>
  </w:style>
  <w:style w:type="table" w:styleId="TableGrid">
    <w:name w:val="Table Grid"/>
    <w:basedOn w:val="TableNormal"/>
    <w:uiPriority w:val="59"/>
    <w:rsid w:val="001A5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0140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wonhealth.org.au/research/for-researchers/rdu/guidelines-and-t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mrc.gov.au/about-us/publications/guidelines-under-section-95-privacy-act-19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4858DCB4-B7A1-426A-94A1-5DC78D914D18}">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8B9E2A92-5466-4D13-BFFD-E7045EA8973B"/>
    <ds:schemaRef ds:uri="http://schemas.microsoft.com/sharepoint/v3"/>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382</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3</cp:revision>
  <cp:lastPrinted>2011-02-09T03:02:00Z</cp:lastPrinted>
  <dcterms:created xsi:type="dcterms:W3CDTF">2023-11-14T03:14:00Z</dcterms:created>
  <dcterms:modified xsi:type="dcterms:W3CDTF">2023-11-14T04:06:00Z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